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D5EA" w14:textId="70B719D7" w:rsidR="004E189B" w:rsidRPr="00137929" w:rsidRDefault="00735F8E" w:rsidP="00735F8E">
      <w:pPr>
        <w:pStyle w:val="Heading1"/>
        <w:spacing w:after="120"/>
        <w:jc w:val="center"/>
        <w:rPr>
          <w:rFonts w:ascii="Arial" w:hAnsi="Arial" w:cs="Arial"/>
          <w:sz w:val="28"/>
          <w:szCs w:val="28"/>
          <w:u w:val="single"/>
        </w:rPr>
      </w:pPr>
      <w:r w:rsidRPr="00137929">
        <w:rPr>
          <w:rFonts w:ascii="Arial" w:hAnsi="Arial" w:cs="Arial"/>
          <w:sz w:val="28"/>
          <w:szCs w:val="28"/>
          <w:u w:val="single"/>
        </w:rPr>
        <w:t xml:space="preserve">Summary and </w:t>
      </w:r>
      <w:r w:rsidR="00E63198" w:rsidRPr="00137929">
        <w:rPr>
          <w:rFonts w:ascii="Arial" w:hAnsi="Arial" w:cs="Arial"/>
          <w:sz w:val="28"/>
          <w:szCs w:val="28"/>
          <w:u w:val="single"/>
        </w:rPr>
        <w:t xml:space="preserve">Comparison </w:t>
      </w:r>
      <w:r w:rsidRPr="00137929">
        <w:rPr>
          <w:rFonts w:ascii="Arial" w:hAnsi="Arial" w:cs="Arial"/>
          <w:sz w:val="28"/>
          <w:szCs w:val="28"/>
          <w:u w:val="single"/>
        </w:rPr>
        <w:t xml:space="preserve">of CGM </w:t>
      </w:r>
      <w:r w:rsidR="00E63198" w:rsidRPr="00137929">
        <w:rPr>
          <w:rFonts w:ascii="Arial" w:hAnsi="Arial" w:cs="Arial"/>
          <w:sz w:val="28"/>
          <w:szCs w:val="28"/>
          <w:u w:val="single"/>
        </w:rPr>
        <w:t>Table</w:t>
      </w:r>
      <w:r w:rsidR="00137929" w:rsidRPr="00137929">
        <w:rPr>
          <w:rFonts w:ascii="Arial" w:hAnsi="Arial" w:cs="Arial"/>
          <w:sz w:val="28"/>
          <w:szCs w:val="28"/>
          <w:u w:val="single"/>
        </w:rPr>
        <w:t xml:space="preserve"> of choices for CGM for Children and Young People with Type 2 Diabetes. </w:t>
      </w:r>
    </w:p>
    <w:tbl>
      <w:tblPr>
        <w:tblStyle w:val="TableGrid"/>
        <w:tblW w:w="6952" w:type="dxa"/>
        <w:tblLayout w:type="fixed"/>
        <w:tblLook w:val="04A0" w:firstRow="1" w:lastRow="0" w:firstColumn="1" w:lastColumn="0" w:noHBand="0" w:noVBand="1"/>
      </w:tblPr>
      <w:tblGrid>
        <w:gridCol w:w="1573"/>
        <w:gridCol w:w="1342"/>
        <w:gridCol w:w="7"/>
        <w:gridCol w:w="1337"/>
        <w:gridCol w:w="1344"/>
        <w:gridCol w:w="1349"/>
      </w:tblGrid>
      <w:tr w:rsidR="0025088E" w14:paraId="0B7E9B9E" w14:textId="77777777" w:rsidTr="0025088E">
        <w:trPr>
          <w:gridAfter w:val="3"/>
          <w:wAfter w:w="4030" w:type="dxa"/>
          <w:trHeight w:val="574"/>
        </w:trPr>
        <w:tc>
          <w:tcPr>
            <w:tcW w:w="15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C490BE" w14:textId="2E74299D" w:rsidR="0025088E" w:rsidRPr="00E867B6" w:rsidRDefault="0025088E" w:rsidP="00031F79">
            <w:pPr>
              <w:rPr>
                <w:b/>
                <w:bCs/>
              </w:rPr>
            </w:pPr>
            <w:r w:rsidRPr="00E867B6">
              <w:rPr>
                <w:b/>
                <w:bCs/>
              </w:rPr>
              <w:t>Features</w:t>
            </w:r>
          </w:p>
        </w:tc>
        <w:tc>
          <w:tcPr>
            <w:tcW w:w="134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566C156B" w14:textId="2AC02CB8" w:rsidR="0025088E" w:rsidRPr="00735F8E" w:rsidRDefault="0025088E" w:rsidP="00935101">
            <w:pPr>
              <w:rPr>
                <w:rFonts w:ascii="Arial" w:hAnsi="Arial" w:cs="Arial"/>
              </w:rPr>
            </w:pPr>
          </w:p>
        </w:tc>
      </w:tr>
      <w:tr w:rsidR="0025088E" w14:paraId="4CADBB99" w14:textId="77777777" w:rsidTr="0025088E">
        <w:tc>
          <w:tcPr>
            <w:tcW w:w="15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24A58A" w14:textId="041B82C3" w:rsidR="0025088E" w:rsidRDefault="0025088E" w:rsidP="00031F79"/>
        </w:tc>
        <w:tc>
          <w:tcPr>
            <w:tcW w:w="134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CC2E5" w:themeFill="accent5" w:themeFillTint="99"/>
            <w:vAlign w:val="center"/>
          </w:tcPr>
          <w:p w14:paraId="2ED9A2A9" w14:textId="1711F08A" w:rsidR="0025088E" w:rsidRPr="00707150" w:rsidRDefault="0025088E" w:rsidP="002D54F0">
            <w:pPr>
              <w:rPr>
                <w:b/>
                <w:bCs/>
              </w:rPr>
            </w:pPr>
            <w:r w:rsidRPr="00707150">
              <w:rPr>
                <w:b/>
                <w:bCs/>
              </w:rPr>
              <w:t>Dexcom G7</w:t>
            </w:r>
          </w:p>
          <w:p w14:paraId="7FEF47E4" w14:textId="5D9B2B79" w:rsidR="0025088E" w:rsidRDefault="0025088E" w:rsidP="002D54F0">
            <w:r w:rsidRPr="00707150">
              <w:rPr>
                <w:b/>
                <w:bCs/>
              </w:rPr>
              <w:t>Dexcom</w:t>
            </w:r>
          </w:p>
        </w:tc>
        <w:tc>
          <w:tcPr>
            <w:tcW w:w="1344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8E1A02E" w14:textId="204BBC0A" w:rsidR="0025088E" w:rsidRPr="008369F8" w:rsidRDefault="0025088E" w:rsidP="002D54F0">
            <w:pPr>
              <w:rPr>
                <w:b/>
                <w:bCs/>
              </w:rPr>
            </w:pPr>
            <w:r w:rsidRPr="008369F8">
              <w:rPr>
                <w:b/>
                <w:bCs/>
              </w:rPr>
              <w:t>Freestyle Libre 3</w:t>
            </w:r>
          </w:p>
        </w:tc>
        <w:tc>
          <w:tcPr>
            <w:tcW w:w="134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2CAF002" w14:textId="633D8FC9" w:rsidR="0025088E" w:rsidRPr="0000184A" w:rsidRDefault="0025088E" w:rsidP="002D54F0">
            <w:pPr>
              <w:rPr>
                <w:b/>
                <w:bCs/>
              </w:rPr>
            </w:pPr>
            <w:r w:rsidRPr="0000184A">
              <w:rPr>
                <w:b/>
                <w:bCs/>
              </w:rPr>
              <w:t>D</w:t>
            </w:r>
            <w:r>
              <w:rPr>
                <w:b/>
                <w:bCs/>
              </w:rPr>
              <w:t>excom One</w:t>
            </w:r>
          </w:p>
        </w:tc>
        <w:tc>
          <w:tcPr>
            <w:tcW w:w="134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57B4C31B" w14:textId="685BA7DB" w:rsidR="0025088E" w:rsidRPr="00D5463E" w:rsidRDefault="0025088E" w:rsidP="002D54F0">
            <w:pPr>
              <w:rPr>
                <w:b/>
                <w:bCs/>
              </w:rPr>
            </w:pPr>
            <w:r w:rsidRPr="00D5463E">
              <w:rPr>
                <w:b/>
                <w:bCs/>
              </w:rPr>
              <w:t>Freestyle Libre 2</w:t>
            </w:r>
          </w:p>
        </w:tc>
      </w:tr>
      <w:tr w:rsidR="0025088E" w14:paraId="41B85ED6" w14:textId="77777777" w:rsidTr="0025088E">
        <w:tc>
          <w:tcPr>
            <w:tcW w:w="15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02BFCA" w14:textId="5C36AAAF" w:rsidR="0025088E" w:rsidRPr="00E867B6" w:rsidRDefault="0025088E" w:rsidP="00031F79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Age Group Licence.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44846EBE" w14:textId="440EDBE0" w:rsidR="0025088E" w:rsidRPr="00E867B6" w:rsidRDefault="0025088E" w:rsidP="00E867B6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2 years upwards</w:t>
            </w:r>
          </w:p>
        </w:tc>
        <w:tc>
          <w:tcPr>
            <w:tcW w:w="1344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612CD24B" w14:textId="153079C9" w:rsidR="0025088E" w:rsidRPr="00E867B6" w:rsidRDefault="0025088E" w:rsidP="00E867B6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4 years upwards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F8C6C1A" w14:textId="6DAF787B" w:rsidR="0025088E" w:rsidRPr="00E867B6" w:rsidRDefault="0025088E" w:rsidP="00E867B6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2 years upwards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92D313" w14:textId="76254F69" w:rsidR="0025088E" w:rsidRPr="00E867B6" w:rsidRDefault="0025088E" w:rsidP="00E867B6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4 years upwards</w:t>
            </w:r>
          </w:p>
        </w:tc>
      </w:tr>
      <w:tr w:rsidR="0025088E" w14:paraId="6C44239D" w14:textId="77777777" w:rsidTr="0025088E">
        <w:tc>
          <w:tcPr>
            <w:tcW w:w="15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4D0245" w14:textId="0A8169DC" w:rsidR="0025088E" w:rsidRPr="00E867B6" w:rsidRDefault="0025088E" w:rsidP="0003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Prescribable on FP10? 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215CC9F0" w14:textId="1FF4CB9D" w:rsidR="0025088E" w:rsidRPr="00E867B6" w:rsidRDefault="0025088E" w:rsidP="00E86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– hospital only </w:t>
            </w:r>
          </w:p>
        </w:tc>
        <w:tc>
          <w:tcPr>
            <w:tcW w:w="1344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FBBD0DA" w14:textId="290151E2" w:rsidR="0025088E" w:rsidRPr="00E867B6" w:rsidRDefault="0025088E" w:rsidP="00E86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– hospital only 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3484523" w14:textId="79AB29AE" w:rsidR="0025088E" w:rsidRPr="00E867B6" w:rsidRDefault="0025088E" w:rsidP="00E86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69138FD" w14:textId="24FD0E31" w:rsidR="0025088E" w:rsidRPr="00E867B6" w:rsidRDefault="0025088E" w:rsidP="00E86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088E" w14:paraId="52E31855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1B16E6" w14:textId="1169BFD0" w:rsidR="0025088E" w:rsidRPr="00E867B6" w:rsidRDefault="0025088E" w:rsidP="00031F79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Real Time Device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7F4A699D" w14:textId="57E2E3FC" w:rsidR="0025088E" w:rsidRPr="00E867B6" w:rsidRDefault="0025088E" w:rsidP="00E867B6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8F7364E" w14:textId="090A3BA1" w:rsidR="0025088E" w:rsidRPr="00E867B6" w:rsidRDefault="0025088E" w:rsidP="00E867B6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EEB1AC3" w14:textId="52734266" w:rsidR="0025088E" w:rsidRPr="00E867B6" w:rsidRDefault="0025088E" w:rsidP="00E867B6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87746C7" w14:textId="79862A43" w:rsidR="0025088E" w:rsidRPr="00E867B6" w:rsidRDefault="0025088E" w:rsidP="00E867B6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</w:tr>
      <w:tr w:rsidR="0025088E" w14:paraId="3DD2239C" w14:textId="77777777" w:rsidTr="0025088E">
        <w:trPr>
          <w:trHeight w:val="607"/>
        </w:trPr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F07EB3" w14:textId="06B76828" w:rsidR="0025088E" w:rsidRPr="00E867B6" w:rsidRDefault="0025088E" w:rsidP="00F27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cost (exc receiver)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4F396F6B" w14:textId="12364B37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 xml:space="preserve">£2214 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54BB4F7" w14:textId="123720FE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£1121.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CE2A113" w14:textId="77777777" w:rsidR="0025088E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£9</w:t>
            </w:r>
            <w:r>
              <w:rPr>
                <w:sz w:val="18"/>
                <w:szCs w:val="18"/>
              </w:rPr>
              <w:t>25</w:t>
            </w:r>
          </w:p>
          <w:p w14:paraId="0D5F18D3" w14:textId="68AC0A24" w:rsidR="0025088E" w:rsidRPr="00E867B6" w:rsidRDefault="0025088E" w:rsidP="00F27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 transmit)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BEA7D35" w14:textId="2F79FD7E" w:rsidR="0025088E" w:rsidRPr="00E867B6" w:rsidRDefault="0025088E" w:rsidP="00F27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£910</w:t>
            </w:r>
          </w:p>
        </w:tc>
      </w:tr>
      <w:tr w:rsidR="0025088E" w14:paraId="4C4D0773" w14:textId="77777777" w:rsidTr="0025088E">
        <w:trPr>
          <w:trHeight w:val="418"/>
        </w:trPr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95F20" w14:textId="400E9E88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Sensor Cost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67333E31" w14:textId="0CD1EC7A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 xml:space="preserve">£51.25 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6E40820F" w14:textId="43D46407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£43.00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3BCA7169" w14:textId="60CB0EEB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£25.00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7F8BBE4" w14:textId="26FAC096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 xml:space="preserve">£35 </w:t>
            </w:r>
          </w:p>
        </w:tc>
      </w:tr>
      <w:tr w:rsidR="0025088E" w14:paraId="0AFD3678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396A7" w14:textId="30265D21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Current Availability Within SYHL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6A575045" w14:textId="7B8F3240" w:rsidR="0025088E" w:rsidRPr="00E867B6" w:rsidRDefault="0025088E" w:rsidP="00F27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 RED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6E8EECB8" w14:textId="70CF8286" w:rsidR="0025088E" w:rsidRPr="00E867B6" w:rsidRDefault="0025088E" w:rsidP="00F27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 RED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C1C4321" w14:textId="2F55D96C" w:rsidR="0025088E" w:rsidRPr="00E867B6" w:rsidRDefault="0025088E" w:rsidP="00F27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E867B6">
              <w:rPr>
                <w:sz w:val="18"/>
                <w:szCs w:val="18"/>
              </w:rPr>
              <w:t>equested</w:t>
            </w:r>
            <w:r>
              <w:rPr>
                <w:sz w:val="18"/>
                <w:szCs w:val="18"/>
              </w:rPr>
              <w:t xml:space="preserve"> – TLS tbc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6A2B4C1" w14:textId="5E29379B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Available</w:t>
            </w:r>
            <w:r>
              <w:rPr>
                <w:sz w:val="18"/>
                <w:szCs w:val="18"/>
              </w:rPr>
              <w:t xml:space="preserve"> BLUE</w:t>
            </w:r>
          </w:p>
        </w:tc>
      </w:tr>
      <w:tr w:rsidR="0025088E" w14:paraId="0ACBE366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F51B7" w14:textId="44EA25F4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Where is the device sited?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5F8EB531" w14:textId="3B85F8DF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Back of arm/abdomen.(upper buttocks 2-6 years)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6EFC654" w14:textId="463BF445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Back of upper arm.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1D8295AD" w14:textId="322D4303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Back of arm/abdomen.</w:t>
            </w:r>
          </w:p>
          <w:p w14:paraId="679884CA" w14:textId="35B4DF5C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(upper buttocks 2-17 years)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21F033C" w14:textId="371456DE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Back of upper arm.</w:t>
            </w:r>
          </w:p>
        </w:tc>
      </w:tr>
      <w:tr w:rsidR="0025088E" w14:paraId="11A83E15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DF8849" w14:textId="476A2029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Is a Separate Transmitter Needed?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7C7C3640" w14:textId="7E9BA6F3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8B502C8" w14:textId="5979885D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3385BB8" w14:textId="34A13AE5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DA658C5" w14:textId="3BD6269B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</w:tr>
      <w:tr w:rsidR="0025088E" w14:paraId="1AF16F3C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626E29" w14:textId="2CD732E9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Does the device have IOS/Android Compatibility?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2129267D" w14:textId="417F1FF9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736AD65" w14:textId="61B73FB5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7A6F84D" w14:textId="18B99316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B9269CB" w14:textId="40326AAB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</w:tr>
      <w:tr w:rsidR="0025088E" w14:paraId="1353F2BE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9BECA8" w14:textId="77777777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 xml:space="preserve">Which App/ </w:t>
            </w:r>
          </w:p>
          <w:p w14:paraId="3B450625" w14:textId="3F0C32ED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Sharing Platform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3DC28AED" w14:textId="77777777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Clarity</w:t>
            </w:r>
          </w:p>
          <w:p w14:paraId="59935251" w14:textId="77777777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Follow App</w:t>
            </w:r>
          </w:p>
          <w:p w14:paraId="62099FDE" w14:textId="7E5419FE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Glooko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AF4DA79" w14:textId="6BDCFB0F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Freestyle Libre 3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FBDB0E6" w14:textId="68D2D1F4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Clarity</w:t>
            </w:r>
          </w:p>
          <w:p w14:paraId="0E6E16F2" w14:textId="3ED3EA01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Glooko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775F565" w14:textId="63A861A9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Libreview</w:t>
            </w:r>
          </w:p>
        </w:tc>
      </w:tr>
      <w:tr w:rsidR="0025088E" w14:paraId="71FC9606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51CB7F" w14:textId="37D55FAC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Calibration?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02F8A793" w14:textId="72247D7A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6D10D191" w14:textId="4CD71A0E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394490A7" w14:textId="34178A8B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Possible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94B1F4D" w14:textId="106D91BB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</w:tr>
      <w:tr w:rsidR="0025088E" w14:paraId="379C4EBC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942EB4" w14:textId="6F680F1D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Is a receiver available?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4DD07466" w14:textId="5ADCBF79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9013449" w14:textId="2FB11481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E3FACA3" w14:textId="33A9C35D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DEDBA0" w14:textId="7E9C8E5D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</w:tr>
      <w:tr w:rsidR="0025088E" w14:paraId="39BBC9BD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55253" w14:textId="1C881D02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Sensor Life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4FB3ED54" w14:textId="0E86CD8C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10 days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762B52C" w14:textId="55EF3B45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14 days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0CD318E" w14:textId="4E3C3FB6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10 days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D373367" w14:textId="6228D8D0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14 days</w:t>
            </w:r>
          </w:p>
        </w:tc>
      </w:tr>
      <w:tr w:rsidR="0025088E" w14:paraId="053AFD3C" w14:textId="77777777" w:rsidTr="0025088E">
        <w:tc>
          <w:tcPr>
            <w:tcW w:w="15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AD59E" w14:textId="55053131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lastRenderedPageBreak/>
              <w:t>Transmitter Life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225976A1" w14:textId="77777777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N/A</w:t>
            </w:r>
          </w:p>
          <w:p w14:paraId="02B1F8CD" w14:textId="7A91A3D9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combined with sensor.</w:t>
            </w:r>
          </w:p>
        </w:tc>
        <w:tc>
          <w:tcPr>
            <w:tcW w:w="1344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26F9EF4" w14:textId="00F50F63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N/A combined with sensor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F31A34D" w14:textId="593D1F7F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3 months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ED1492" w14:textId="65EB785F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N/A combined with sensor</w:t>
            </w:r>
          </w:p>
        </w:tc>
      </w:tr>
      <w:tr w:rsidR="0025088E" w14:paraId="4FF3D8FD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119241" w14:textId="4507D60B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Sensor Warm Up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1424AEF1" w14:textId="1540004D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30 mins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40C938D2" w14:textId="6829CA23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1 hour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295A88F" w14:textId="077FA948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2 hours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C9CE15" w14:textId="603E1264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60 minutes</w:t>
            </w:r>
          </w:p>
        </w:tc>
      </w:tr>
      <w:tr w:rsidR="0025088E" w14:paraId="5008D87F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D84830" w14:textId="3E89D42E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Predictive Low Glucose Alert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7C5630F3" w14:textId="340B1BD5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682121E" w14:textId="7A028213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 predictive low alert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6FDC7D6" w14:textId="2BD154C8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AD59D85" w14:textId="684D7F8A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</w:tr>
      <w:tr w:rsidR="0025088E" w14:paraId="2341CBC5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667087" w14:textId="12B60DA1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Fixed Urgent Low Soon Alert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3AF7D691" w14:textId="78BF4CD2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Yes:20 mins before low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1A5D47E" w14:textId="6A4ECEC5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Mandatory urgent low.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1D5B785" w14:textId="6F174766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Low alert but not low soon.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68D3BF3" w14:textId="520ACA52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Low alert but not low soon.</w:t>
            </w:r>
          </w:p>
        </w:tc>
      </w:tr>
      <w:tr w:rsidR="0025088E" w14:paraId="577D5F51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330D06" w14:textId="3F8A071B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High Alerts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77876B74" w14:textId="59F66F66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114D42E3" w14:textId="1C3A40D3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C0BACC5" w14:textId="0621D98B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C36A5A3" w14:textId="45E8337C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</w:tr>
      <w:tr w:rsidR="0025088E" w14:paraId="4AE05202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BE7F10" w14:textId="29FD171A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Approved for Non-Adjunctive use?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4A1D8472" w14:textId="516C3EF5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95715DB" w14:textId="7D13E276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1CEE7B28" w14:textId="22E268C6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514D29B" w14:textId="009F6EB8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</w:tr>
      <w:tr w:rsidR="0025088E" w14:paraId="4446079B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B6FE6E" w14:textId="3DE37AF3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Water Resistant?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794B846B" w14:textId="0748A8DC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2.4 meters up to 24 hours.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736454B7" w14:textId="044698FA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1 meter up to 30 minutes.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B12D362" w14:textId="66D30AB1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2.4 meters up 24 hours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369FE19" w14:textId="347C7EBE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90cm for 30 minutes</w:t>
            </w:r>
          </w:p>
        </w:tc>
      </w:tr>
      <w:tr w:rsidR="0025088E" w14:paraId="25779F60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9EAF55" w14:textId="7C71E034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Data share option with friends/family?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3A09035B" w14:textId="77777777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  <w:p w14:paraId="5BB92A8A" w14:textId="2875E5B5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Follow App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C9C0E3A" w14:textId="4EB1A09C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  <w:p w14:paraId="1E31A6FB" w14:textId="302DAF0E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LibreLinkup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1DFAB65" w14:textId="53D40CCC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E6435FA" w14:textId="39F9C0CA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</w:tr>
      <w:tr w:rsidR="0025088E" w14:paraId="119EEBA6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9DA66" w14:textId="51044640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Data share option with HCP?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4B236969" w14:textId="77777777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  <w:p w14:paraId="55AC618E" w14:textId="1F8368FA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Clarity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3D4D9DBC" w14:textId="26AF8BEA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  <w:p w14:paraId="4F7BEE17" w14:textId="586DC929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LibreView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069C411" w14:textId="3EEA7EAC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6B4766" w14:textId="05F838FD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Yes</w:t>
            </w:r>
          </w:p>
        </w:tc>
      </w:tr>
      <w:tr w:rsidR="0025088E" w14:paraId="4D96CE94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2FFBF" w14:textId="3217D833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Mard</w:t>
            </w:r>
            <w:r>
              <w:rPr>
                <w:sz w:val="20"/>
                <w:szCs w:val="20"/>
              </w:rPr>
              <w:t>*</w:t>
            </w:r>
            <w:r w:rsidRPr="00E867B6">
              <w:rPr>
                <w:sz w:val="20"/>
                <w:szCs w:val="20"/>
              </w:rPr>
              <w:t>?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0BD9FDF5" w14:textId="4A93077C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9%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2D2CCEFA" w14:textId="4662BFE7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9.2% Paeds 9.7%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B0D1880" w14:textId="3BAB0853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9%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3CD7F3C" w14:textId="3A841791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9.2% Paeds 9.7%</w:t>
            </w:r>
          </w:p>
        </w:tc>
      </w:tr>
      <w:tr w:rsidR="0025088E" w:rsidRPr="00621CFC" w14:paraId="1A577B5C" w14:textId="77777777" w:rsidTr="0025088E">
        <w:tc>
          <w:tcPr>
            <w:tcW w:w="15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7FDCEF" w14:textId="03F2A0A2" w:rsidR="0025088E" w:rsidRPr="00E867B6" w:rsidRDefault="0025088E" w:rsidP="00F27E72">
            <w:pPr>
              <w:rPr>
                <w:sz w:val="20"/>
                <w:szCs w:val="20"/>
              </w:rPr>
            </w:pPr>
            <w:r w:rsidRPr="00E867B6">
              <w:rPr>
                <w:sz w:val="20"/>
                <w:szCs w:val="20"/>
              </w:rPr>
              <w:t>CSII/Closed Loop Compatibilty?</w:t>
            </w:r>
          </w:p>
        </w:tc>
        <w:tc>
          <w:tcPr>
            <w:tcW w:w="1342" w:type="dxa"/>
            <w:tcBorders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1D4B7626" w14:textId="0BE83559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23E774A" w14:textId="308C2DF2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417324C1" w14:textId="49053EFB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  <w:tc>
          <w:tcPr>
            <w:tcW w:w="134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CFBFE4B" w14:textId="373FB94D" w:rsidR="0025088E" w:rsidRPr="00E867B6" w:rsidRDefault="0025088E" w:rsidP="00F27E72">
            <w:pPr>
              <w:rPr>
                <w:sz w:val="18"/>
                <w:szCs w:val="18"/>
              </w:rPr>
            </w:pPr>
            <w:r w:rsidRPr="00E867B6">
              <w:rPr>
                <w:sz w:val="18"/>
                <w:szCs w:val="18"/>
              </w:rPr>
              <w:t>No</w:t>
            </w:r>
          </w:p>
        </w:tc>
      </w:tr>
    </w:tbl>
    <w:p w14:paraId="2924327E" w14:textId="77777777" w:rsidR="005F5B47" w:rsidRPr="00621CFC" w:rsidRDefault="005F5B47" w:rsidP="005F5B47">
      <w:pPr>
        <w:rPr>
          <w:sz w:val="18"/>
          <w:szCs w:val="18"/>
        </w:rPr>
      </w:pPr>
    </w:p>
    <w:p w14:paraId="16691942" w14:textId="77777777" w:rsidR="0032049A" w:rsidRDefault="0032049A">
      <w:pPr>
        <w:rPr>
          <w:rFonts w:ascii="Arial" w:hAnsi="Arial" w:cs="Arial"/>
          <w:u w:val="single"/>
        </w:rPr>
      </w:pPr>
    </w:p>
    <w:p w14:paraId="73FED577" w14:textId="57CDF6D1" w:rsidR="004E189B" w:rsidRPr="003F0F4E" w:rsidRDefault="003F0F4E">
      <w:pPr>
        <w:rPr>
          <w:rFonts w:ascii="Arial" w:hAnsi="Arial" w:cs="Arial"/>
          <w:sz w:val="20"/>
          <w:szCs w:val="20"/>
          <w:u w:val="single"/>
        </w:rPr>
      </w:pPr>
      <w:r w:rsidRPr="003F0F4E">
        <w:rPr>
          <w:rFonts w:ascii="Arial" w:hAnsi="Arial" w:cs="Arial"/>
          <w:sz w:val="20"/>
          <w:szCs w:val="20"/>
          <w:u w:val="single"/>
        </w:rPr>
        <w:t>*</w:t>
      </w:r>
      <w:r w:rsidR="007948FF" w:rsidRPr="003F0F4E">
        <w:rPr>
          <w:rFonts w:ascii="Arial" w:hAnsi="Arial" w:cs="Arial"/>
          <w:sz w:val="20"/>
          <w:szCs w:val="20"/>
          <w:u w:val="single"/>
        </w:rPr>
        <w:t>Glossary</w:t>
      </w:r>
    </w:p>
    <w:p w14:paraId="26D117FB" w14:textId="37AED805" w:rsidR="007948FF" w:rsidRPr="003F0F4E" w:rsidRDefault="007948FF">
      <w:pPr>
        <w:rPr>
          <w:rFonts w:ascii="Arial" w:hAnsi="Arial" w:cs="Arial"/>
          <w:sz w:val="20"/>
          <w:szCs w:val="20"/>
        </w:rPr>
      </w:pPr>
      <w:r w:rsidRPr="003F0F4E">
        <w:rPr>
          <w:rFonts w:ascii="Arial" w:hAnsi="Arial" w:cs="Arial"/>
          <w:sz w:val="20"/>
          <w:szCs w:val="20"/>
        </w:rPr>
        <w:t>MARD: The mean absolute relative difference. A parameter used to characterise the measurement performance of systems</w:t>
      </w:r>
      <w:r w:rsidR="0032049A" w:rsidRPr="003F0F4E">
        <w:rPr>
          <w:rFonts w:ascii="Arial" w:hAnsi="Arial" w:cs="Arial"/>
          <w:sz w:val="20"/>
          <w:szCs w:val="20"/>
        </w:rPr>
        <w:t xml:space="preserve"> (sensor + algorithm)</w:t>
      </w:r>
      <w:r w:rsidRPr="003F0F4E">
        <w:rPr>
          <w:rFonts w:ascii="Arial" w:hAnsi="Arial" w:cs="Arial"/>
          <w:sz w:val="20"/>
          <w:szCs w:val="20"/>
        </w:rPr>
        <w:t xml:space="preserve"> for continuous glucose monitoring.</w:t>
      </w:r>
      <w:r w:rsidR="0032049A" w:rsidRPr="003F0F4E">
        <w:rPr>
          <w:rFonts w:ascii="Arial" w:hAnsi="Arial" w:cs="Arial"/>
          <w:sz w:val="20"/>
          <w:szCs w:val="20"/>
        </w:rPr>
        <w:t xml:space="preserve"> Typically, a CGM system with a MARD &lt;10% is regarded to have good analytical performance. The less the MARD is, the closer are the CGM readings to comparison values. Heinemann et al (2020)</w:t>
      </w:r>
    </w:p>
    <w:p w14:paraId="3ABFBB92" w14:textId="424EC7E8" w:rsidR="0032049A" w:rsidRPr="003F0F4E" w:rsidRDefault="005D4C1B">
      <w:pPr>
        <w:rPr>
          <w:rFonts w:ascii="Arial" w:hAnsi="Arial" w:cs="Arial"/>
          <w:sz w:val="20"/>
          <w:szCs w:val="20"/>
        </w:rPr>
      </w:pPr>
      <w:r w:rsidRPr="003F0F4E">
        <w:rPr>
          <w:rFonts w:ascii="Arial" w:hAnsi="Arial" w:cs="Arial"/>
          <w:sz w:val="20"/>
          <w:szCs w:val="20"/>
        </w:rPr>
        <w:t xml:space="preserve">Heinemann L, Schoemaker M, Schmelzeisen-Redecker G, Hunzmann R, Kassab A, Freckmann G, Reiterer F, Del Re L (2020) </w:t>
      </w:r>
      <w:r w:rsidR="0032049A" w:rsidRPr="003F0F4E">
        <w:rPr>
          <w:rFonts w:ascii="Arial" w:hAnsi="Arial" w:cs="Arial"/>
          <w:sz w:val="20"/>
          <w:szCs w:val="20"/>
        </w:rPr>
        <w:t xml:space="preserve">Benefits and Limitations of MARD as a Performance Parameter For Continuous Glucose Monitoring in the Interstitial Space </w:t>
      </w:r>
      <w:r w:rsidRPr="003F0F4E">
        <w:rPr>
          <w:rFonts w:ascii="Arial" w:hAnsi="Arial" w:cs="Arial"/>
          <w:sz w:val="20"/>
          <w:szCs w:val="20"/>
          <w:u w:val="single"/>
        </w:rPr>
        <w:t xml:space="preserve"> Journal of Diabetes Science and Technology</w:t>
      </w:r>
      <w:r w:rsidR="0032049A" w:rsidRPr="003F0F4E">
        <w:rPr>
          <w:rFonts w:ascii="Arial" w:hAnsi="Arial" w:cs="Arial"/>
          <w:sz w:val="20"/>
          <w:szCs w:val="20"/>
        </w:rPr>
        <w:t xml:space="preserve"> Jan:14 (1):135-150</w:t>
      </w:r>
    </w:p>
    <w:sectPr w:rsidR="0032049A" w:rsidRPr="003F0F4E" w:rsidSect="00735F8E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273A" w14:textId="77777777" w:rsidR="002B689C" w:rsidRDefault="002B689C" w:rsidP="00AF5684">
      <w:pPr>
        <w:spacing w:after="0" w:line="240" w:lineRule="auto"/>
      </w:pPr>
      <w:r>
        <w:separator/>
      </w:r>
    </w:p>
  </w:endnote>
  <w:endnote w:type="continuationSeparator" w:id="0">
    <w:p w14:paraId="589E6788" w14:textId="77777777" w:rsidR="002B689C" w:rsidRDefault="002B689C" w:rsidP="00A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F6C7" w14:textId="77777777" w:rsidR="002B689C" w:rsidRDefault="002B689C" w:rsidP="00AF5684">
      <w:pPr>
        <w:spacing w:after="0" w:line="240" w:lineRule="auto"/>
      </w:pPr>
      <w:r>
        <w:separator/>
      </w:r>
    </w:p>
  </w:footnote>
  <w:footnote w:type="continuationSeparator" w:id="0">
    <w:p w14:paraId="3E61EBA4" w14:textId="77777777" w:rsidR="002B689C" w:rsidRDefault="002B689C" w:rsidP="00AF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24FB" w14:textId="45F388D2" w:rsidR="00AF5684" w:rsidRDefault="00AF5684">
    <w:pPr>
      <w:pStyle w:val="Header"/>
    </w:pPr>
  </w:p>
  <w:p w14:paraId="5ECEEA7F" w14:textId="77777777" w:rsidR="00AF5684" w:rsidRDefault="00AF5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8D43" w14:textId="1DEE086D" w:rsidR="00735F8E" w:rsidRDefault="00735F8E" w:rsidP="00735F8E">
    <w:pPr>
      <w:pStyle w:val="Header"/>
      <w:jc w:val="center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1D8D68C5" wp14:editId="22AFEA02">
          <wp:simplePos x="0" y="0"/>
          <wp:positionH relativeFrom="column">
            <wp:posOffset>8813938</wp:posOffset>
          </wp:positionH>
          <wp:positionV relativeFrom="paragraph">
            <wp:posOffset>-386080</wp:posOffset>
          </wp:positionV>
          <wp:extent cx="655955" cy="452755"/>
          <wp:effectExtent l="0" t="0" r="0" b="4445"/>
          <wp:wrapSquare wrapText="bothSides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FEA">
      <w:rPr>
        <w:rFonts w:ascii="Arial" w:hAnsi="Arial" w:cs="Arial"/>
        <w:b/>
        <w:bCs/>
      </w:rPr>
      <w:t>Surrey Heartlands Integrated Care System (ICS) Area Prescribing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9B"/>
    <w:rsid w:val="0000184A"/>
    <w:rsid w:val="00021EC3"/>
    <w:rsid w:val="00031F79"/>
    <w:rsid w:val="00073A3F"/>
    <w:rsid w:val="00082534"/>
    <w:rsid w:val="00085D84"/>
    <w:rsid w:val="000A6545"/>
    <w:rsid w:val="000D205B"/>
    <w:rsid w:val="000E3681"/>
    <w:rsid w:val="00137929"/>
    <w:rsid w:val="0025088E"/>
    <w:rsid w:val="00294392"/>
    <w:rsid w:val="002B689C"/>
    <w:rsid w:val="002D54F0"/>
    <w:rsid w:val="0031393B"/>
    <w:rsid w:val="0032049A"/>
    <w:rsid w:val="00327EB0"/>
    <w:rsid w:val="0038775E"/>
    <w:rsid w:val="003D0224"/>
    <w:rsid w:val="003F0F4E"/>
    <w:rsid w:val="00430A3E"/>
    <w:rsid w:val="004D79D8"/>
    <w:rsid w:val="004E189B"/>
    <w:rsid w:val="004F1DA0"/>
    <w:rsid w:val="00552940"/>
    <w:rsid w:val="00597076"/>
    <w:rsid w:val="005C46F7"/>
    <w:rsid w:val="005D4C1B"/>
    <w:rsid w:val="005F5B47"/>
    <w:rsid w:val="006200A6"/>
    <w:rsid w:val="00621CFC"/>
    <w:rsid w:val="006514DB"/>
    <w:rsid w:val="006C5631"/>
    <w:rsid w:val="006D35E8"/>
    <w:rsid w:val="00707150"/>
    <w:rsid w:val="00735F8E"/>
    <w:rsid w:val="00786FB4"/>
    <w:rsid w:val="007948FF"/>
    <w:rsid w:val="008369F8"/>
    <w:rsid w:val="00852844"/>
    <w:rsid w:val="008E200C"/>
    <w:rsid w:val="009306EA"/>
    <w:rsid w:val="00935101"/>
    <w:rsid w:val="00942D1C"/>
    <w:rsid w:val="0095250C"/>
    <w:rsid w:val="009A5FCD"/>
    <w:rsid w:val="009B7D41"/>
    <w:rsid w:val="00A01E22"/>
    <w:rsid w:val="00AF5684"/>
    <w:rsid w:val="00B4514D"/>
    <w:rsid w:val="00B479C2"/>
    <w:rsid w:val="00B61989"/>
    <w:rsid w:val="00B67806"/>
    <w:rsid w:val="00B86D58"/>
    <w:rsid w:val="00BF1073"/>
    <w:rsid w:val="00C26440"/>
    <w:rsid w:val="00C31FCE"/>
    <w:rsid w:val="00C809F0"/>
    <w:rsid w:val="00C91E60"/>
    <w:rsid w:val="00CD0341"/>
    <w:rsid w:val="00CF0E74"/>
    <w:rsid w:val="00D5463E"/>
    <w:rsid w:val="00D55647"/>
    <w:rsid w:val="00D73A8C"/>
    <w:rsid w:val="00DD2E34"/>
    <w:rsid w:val="00DE7A35"/>
    <w:rsid w:val="00E55B2C"/>
    <w:rsid w:val="00E63198"/>
    <w:rsid w:val="00E63422"/>
    <w:rsid w:val="00E867B6"/>
    <w:rsid w:val="00EA04D8"/>
    <w:rsid w:val="00EA1AC7"/>
    <w:rsid w:val="00EA4E68"/>
    <w:rsid w:val="00EA6124"/>
    <w:rsid w:val="00EB4704"/>
    <w:rsid w:val="00F01EA1"/>
    <w:rsid w:val="00F0340E"/>
    <w:rsid w:val="00F13313"/>
    <w:rsid w:val="00F27E72"/>
    <w:rsid w:val="00F33C86"/>
    <w:rsid w:val="00FF5E2C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6D8E"/>
  <w15:chartTrackingRefBased/>
  <w15:docId w15:val="{36AFCA35-DFBB-4CB1-AEA3-7F2659E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4E1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4E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1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5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84"/>
  </w:style>
  <w:style w:type="paragraph" w:styleId="Footer">
    <w:name w:val="footer"/>
    <w:basedOn w:val="Normal"/>
    <w:link w:val="FooterChar"/>
    <w:uiPriority w:val="99"/>
    <w:unhideWhenUsed/>
    <w:rsid w:val="00AF5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84"/>
  </w:style>
  <w:style w:type="character" w:styleId="CommentReference">
    <w:name w:val="annotation reference"/>
    <w:basedOn w:val="DefaultParagraphFont"/>
    <w:uiPriority w:val="99"/>
    <w:semiHidden/>
    <w:unhideWhenUsed/>
    <w:rsid w:val="00EA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A92C-05AC-4356-B76A-EC381E0E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Elizabeth (NHS SURREY HEARTLANDS ICB - 92A)</dc:creator>
  <cp:keywords/>
  <dc:description/>
  <cp:lastModifiedBy>JOHNS, Clare (NHS SURREY HEARTLANDS ICB - 92A)</cp:lastModifiedBy>
  <cp:revision>2</cp:revision>
  <dcterms:created xsi:type="dcterms:W3CDTF">2023-08-30T17:14:00Z</dcterms:created>
  <dcterms:modified xsi:type="dcterms:W3CDTF">2023-08-30T17:14:00Z</dcterms:modified>
</cp:coreProperties>
</file>